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1.6  ·  SECTION 1: ISO 20000 FOUNDATIONS</w:t>
      </w:r>
    </w:p>
    <w:p>
      <w:pPr>
        <w:spacing w:after="120"/>
      </w:pPr>
      <w:r>
        <w:rPr>
          <w:rFonts w:ascii="Arial" w:cs="Arial" w:eastAsia="Arial" w:hAnsi="Arial"/>
          <w:b/>
          <w:bCs/>
          <w:caps w:val="false"/>
          <w:color w:val="1B3A5C"/>
          <w:sz w:val="44"/>
          <w:szCs w:val="44"/>
        </w:rPr>
        <w:t xml:space="preserve">Who Needs ISO 20000 and When</w:t>
      </w:r>
    </w:p>
    <w:p>
      <w:pPr>
        <w:spacing w:after="60"/>
      </w:pPr>
      <w:r>
        <w:rPr>
          <w:rFonts w:ascii="Georgia" w:cs="Georgia" w:eastAsia="Georgia" w:hAnsi="Georgia"/>
          <w:b w:val="false"/>
          <w:bCs w:val="false"/>
          <w:color w:val="4B5563"/>
          <w:sz w:val="24"/>
          <w:szCs w:val="24"/>
        </w:rPr>
        <w:t xml:space="preserve">The regulatory drivers, commercial requirements, and operational maturity indicators that make ISO 20000 relevant — Indonesian regulatory context, OJK and BSSN requirements, MSP market positioning, enterprise client IT service standards, and the business case analysis for certification.</w:t>
      </w:r>
    </w:p>
    <w:p>
      <w:pPr>
        <w:spacing w:after="40"/>
      </w:pPr>
      <w:r>
        <w:rPr>
          <w:rFonts w:ascii="Arial" w:cs="Arial" w:eastAsia="Arial" w:hAnsi="Arial"/>
          <w:b w:val="false"/>
          <w:bCs w:val="false"/>
          <w:caps w:val="false"/>
          <w:color w:val="9CA3AF"/>
          <w:sz w:val="18"/>
          <w:szCs w:val="18"/>
        </w:rPr>
        <w:t xml:space="preserve">Bitlion GRC Documentation  ·  Updated April 2026  ·  Reading time: ~14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Not Every Organization Needs ISO 20000 — But More Do Than Realize It</w:t>
      </w:r>
    </w:p>
    <w:p>
      <w:pPr>
        <w:spacing w:after="160" w:line="320"/>
        <w:jc w:val="both"/>
      </w:pPr>
      <w:r>
        <w:rPr>
          <w:rFonts w:ascii="Georgia" w:cs="Georgia" w:eastAsia="Georgia" w:hAnsi="Georgia"/>
          <w:b w:val="false"/>
          <w:bCs w:val="false"/>
          <w:color w:val="111827"/>
          <w:sz w:val="22"/>
          <w:szCs w:val="22"/>
        </w:rPr>
        <w:t xml:space="preserve">ISO 20000 is not a universal regulatory mandate. Unlike certain sector-specific requirements that apply to all organizations in a regulated industry regardless of their circumstances, ISO 20000 certification is something organizations pursue because it serves a specific purpose: satisfying a regulatory expectation, meeting a client requirement, differentiating in a competitive market, or establishing a governance foundation for service quality that internal stakeholders are demanding.</w:t>
      </w:r>
    </w:p>
    <w:p>
      <w:pPr>
        <w:spacing w:after="160" w:line="320"/>
        <w:jc w:val="both"/>
      </w:pPr>
      <w:r>
        <w:rPr>
          <w:rFonts w:ascii="Georgia" w:cs="Georgia" w:eastAsia="Georgia" w:hAnsi="Georgia"/>
          <w:b w:val="false"/>
          <w:bCs w:val="false"/>
          <w:color w:val="111827"/>
          <w:sz w:val="22"/>
          <w:szCs w:val="22"/>
        </w:rPr>
        <w:t xml:space="preserve">The question of who needs ISO 20000 — and when — therefore requires examining the drivers that make it relevant in a specific organizational context. For some organizations, the driver is external and urgent: a major client has made certification a contractual condition, or a regulator has signaled that independent SMS assurance is expected. For others, the driver is strategic and longer-term: management has decided that ISO 20000 certification is the right way to signal service management maturity to a target market. And for others still, the driver is internal: the organization’s service management practices have grown sufficiently complex that a formal management system is needed to govern them effectively.</w:t>
      </w:r>
    </w:p>
    <w:p>
      <w:pPr>
        <w:spacing w:after="160" w:line="320"/>
        <w:jc w:val="both"/>
      </w:pPr>
      <w:r>
        <w:rPr>
          <w:rFonts w:ascii="Georgia" w:cs="Georgia" w:eastAsia="Georgia" w:hAnsi="Georgia"/>
          <w:b w:val="false"/>
          <w:bCs w:val="false"/>
          <w:color w:val="111827"/>
          <w:sz w:val="22"/>
          <w:szCs w:val="22"/>
        </w:rPr>
        <w:t xml:space="preserve">This article maps the landscape of ISO 20000 drivers in the Indonesian context — regulatory, commercial, and operational — and provides a structured framework for assessing whether and when certification makes sense for a specific organization. It covers the OJK financial sector IT governance requirements, BSSN and government IT service expectations, MSP market positioning, enterprise client demands, and the internal operational maturity signals that indicate an organization is ready to benefit from ISO 20000 implementation.</w:t>
      </w:r>
    </w:p>
    <w:p>
      <w:pPr>
        <w:pBdr>
          <w:bottom w:val="single" w:color="2563A8" w:sz="4" w:space="4"/>
        </w:pBdr>
        <w:spacing w:after="160" w:before="400"/>
      </w:pPr>
      <w:r>
        <w:rPr>
          <w:rFonts w:ascii="Arial" w:cs="Arial" w:eastAsia="Arial" w:hAnsi="Arial"/>
          <w:b/>
          <w:bCs/>
          <w:caps w:val="false"/>
          <w:color w:val="1B3A5C"/>
          <w:sz w:val="28"/>
          <w:szCs w:val="28"/>
        </w:rPr>
        <w:t xml:space="preserve">Driver 1: OJK Financial Sector IT Governance Requirements</w:t>
      </w:r>
    </w:p>
    <w:p>
      <w:pPr>
        <w:spacing w:after="160" w:line="320"/>
        <w:jc w:val="both"/>
      </w:pPr>
      <w:r>
        <w:rPr>
          <w:rFonts w:ascii="Georgia" w:cs="Georgia" w:eastAsia="Georgia" w:hAnsi="Georgia"/>
          <w:b w:val="false"/>
          <w:bCs w:val="false"/>
          <w:color w:val="111827"/>
          <w:sz w:val="22"/>
          <w:szCs w:val="22"/>
        </w:rPr>
        <w:t xml:space="preserve">The Otoritas Jasa Keuangan (OJK) is the integrated financial services regulator for Indonesia, with oversight authority over banking, insurance, capital markets, pension funds, and financial technology. OJK’s IT governance framework — most recently consolidated in POJK 11/2022 on information technology risk management for financial services institutions — imposes substantial IT service management obligations on regulated entities and, crucially, on the IT service providers that serve them.</w:t>
      </w:r>
    </w:p>
    <w:p>
      <w:pPr>
        <w:spacing w:after="160" w:line="320"/>
        <w:jc w:val="both"/>
      </w:pPr>
      <w:r>
        <w:rPr>
          <w:rFonts w:ascii="Georgia" w:cs="Georgia" w:eastAsia="Georgia" w:hAnsi="Georgia"/>
          <w:b w:val="false"/>
          <w:bCs w:val="false"/>
          <w:color w:val="111827"/>
          <w:sz w:val="22"/>
          <w:szCs w:val="22"/>
        </w:rPr>
        <w:t xml:space="preserve">POJK 11/2022 requires financial institutions to implement IT governance frameworks covering IT strategy, IT risk management, IT service management, IT infrastructure, IT asset management, and IT project management. The IT service management requirements address incident management, problem management, change management, configuration management, service level management, and IT service continuity — an almost direct mapping to the service management practice requirements of ISO 20000 Clause 8. While POJK 11/2022 does not mandate ISO 20000 certification explicitly, it requires financial institutions to demonstrate that their IT service management meets defined standards, and it extends those requirements to material IT service providers through third-party risk management obligations.</w:t>
      </w:r>
    </w:p>
    <w:p>
      <w:pPr>
        <w:spacing w:after="160" w:line="320"/>
        <w:jc w:val="both"/>
      </w:pPr>
      <w:r>
        <w:rPr>
          <w:rFonts w:ascii="Georgia" w:cs="Georgia" w:eastAsia="Georgia" w:hAnsi="Georgia"/>
          <w:b w:val="false"/>
          <w:bCs w:val="false"/>
          <w:color w:val="111827"/>
          <w:sz w:val="22"/>
          <w:szCs w:val="22"/>
        </w:rPr>
        <w:t xml:space="preserve">For an IT service provider supplying services to OJK-regulated financial institutions, ISO 20000 certification provides a powerful, independently verified evidence base for IT service management capability. Rather than preparing bespoke compliance documentation for each financial institution client’s due diligence process, the certified provider can present its ISO 20000 certificate as a recognized and internationally comparable evidence of SMS compliance. This efficiency argument — one certification satisfying multiple client due diligence requirements — is a compelling commercial case for MSPs serving the financial sector.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POJK 11/2022 Article 27 requires financial institutions to manage third-party IT risk through contractual and oversight mechanisms. When the third party holds ISO 20000 certification, the financial institution’s due diligence burden is substantially reduced: the certification body has already performed the independent assessment of service management capability that the financial institution would otherwise need to conduct itself.</w:t>
            </w:r>
          </w:p>
        </w:tc>
      </w:tr>
    </w:tbl>
    <w:p>
      <w:pPr>
        <w:pBdr>
          <w:bottom w:val="single" w:color="2563A8" w:sz="4" w:space="4"/>
        </w:pBdr>
        <w:spacing w:after="160" w:before="400"/>
      </w:pPr>
      <w:r>
        <w:rPr>
          <w:rFonts w:ascii="Arial" w:cs="Arial" w:eastAsia="Arial" w:hAnsi="Arial"/>
          <w:b/>
          <w:bCs/>
          <w:caps w:val="false"/>
          <w:color w:val="1B3A5C"/>
          <w:sz w:val="28"/>
          <w:szCs w:val="28"/>
        </w:rPr>
        <w:t xml:space="preserve">Driver 2: OJK Cloud Service Requirements</w:t>
      </w:r>
    </w:p>
    <w:p>
      <w:pPr>
        <w:spacing w:after="160" w:line="320"/>
        <w:jc w:val="both"/>
      </w:pPr>
      <w:r>
        <w:rPr>
          <w:rFonts w:ascii="Georgia" w:cs="Georgia" w:eastAsia="Georgia" w:hAnsi="Georgia"/>
          <w:b w:val="false"/>
          <w:bCs w:val="false"/>
          <w:color w:val="111827"/>
          <w:sz w:val="22"/>
          <w:szCs w:val="22"/>
        </w:rPr>
        <w:t xml:space="preserve">OJK has issued specific guidance on cloud computing adoption by financial institutions, addressing the conditions under which regulated entities may use cloud services and the requirements that cloud service providers must meet. The guidance requires financial institutions to conduct thorough due diligence on cloud service providers, including assessment of service management capability, security controls, business continuity arrangements, and data governance.</w:t>
      </w:r>
    </w:p>
    <w:p>
      <w:pPr>
        <w:spacing w:after="160" w:line="320"/>
        <w:jc w:val="both"/>
      </w:pPr>
      <w:r>
        <w:rPr>
          <w:rFonts w:ascii="Georgia" w:cs="Georgia" w:eastAsia="Georgia" w:hAnsi="Georgia"/>
          <w:b w:val="false"/>
          <w:bCs w:val="false"/>
          <w:color w:val="111827"/>
          <w:sz w:val="22"/>
          <w:szCs w:val="22"/>
        </w:rPr>
        <w:t xml:space="preserve">For cloud service providers targeting Indonesian financial sector clients, ISO 20000 certification addresses the service management dimension of OJK’s cloud due diligence requirements directly. Combined with ISO 27001 (information security) and, where applicable, ISO 22301 (business continuity), ISO 20000 creates a three-standard certification portfolio that maps comprehensively to OJK’s cloud provider assessment criteria. Cloud providers in the Indonesian market that hold this combination of certifications have a demonstrable competitive advantage in financial sector procurement relative to providers that hold only one or none of these certifications.</w:t>
      </w:r>
    </w:p>
    <w:p>
      <w:pPr>
        <w:spacing w:after="160" w:line="320"/>
        <w:jc w:val="both"/>
      </w:pPr>
      <w:r>
        <w:rPr>
          <w:rFonts w:ascii="Georgia" w:cs="Georgia" w:eastAsia="Georgia" w:hAnsi="Georgia"/>
          <w:b w:val="false"/>
          <w:bCs w:val="false"/>
          <w:color w:val="111827"/>
          <w:sz w:val="22"/>
          <w:szCs w:val="22"/>
        </w:rPr>
        <w:t xml:space="preserve">The commercial logic is straightforward: OJK-regulated clients face regulatory cost and risk in using cloud providers that cannot demonstrate independent assurance of service management, security, and continuity capability. Providers that eliminate this regulatory friction through credible certification portfolios reduce the total compliance cost for their clients, and clients rationally prefer them for that reason alone — independent of service quality differences.</w:t>
      </w:r>
    </w:p>
    <w:p>
      <w:pPr>
        <w:pBdr>
          <w:bottom w:val="single" w:color="2563A8" w:sz="4" w:space="4"/>
        </w:pBdr>
        <w:spacing w:after="160" w:before="400"/>
      </w:pPr>
      <w:r>
        <w:rPr>
          <w:rFonts w:ascii="Arial" w:cs="Arial" w:eastAsia="Arial" w:hAnsi="Arial"/>
          <w:b/>
          <w:bCs/>
          <w:caps w:val="false"/>
          <w:color w:val="1B3A5C"/>
          <w:sz w:val="28"/>
          <w:szCs w:val="28"/>
        </w:rPr>
        <w:t xml:space="preserve">Driver 3: BSSN and Government IT Service Requirements</w:t>
      </w:r>
    </w:p>
    <w:p>
      <w:pPr>
        <w:spacing w:after="160" w:line="320"/>
        <w:jc w:val="both"/>
      </w:pPr>
      <w:r>
        <w:rPr>
          <w:rFonts w:ascii="Georgia" w:cs="Georgia" w:eastAsia="Georgia" w:hAnsi="Georgia"/>
          <w:b w:val="false"/>
          <w:bCs w:val="false"/>
          <w:color w:val="111827"/>
          <w:sz w:val="22"/>
          <w:szCs w:val="22"/>
        </w:rPr>
        <w:t xml:space="preserve">The Badan Siber dan Sandi Negara (BSSN) — the National Cyber and Encryption Agency — is responsible for cybersecurity policy, standards, and oversight for Indonesia’s government IT infrastructure. BSSN’s framework for government IT security management references international standards including ISO 27001 for information security, and its requirements for IT service management align with the service management disciplines that ISO 20000 formalizes.</w:t>
      </w:r>
    </w:p>
    <w:p>
      <w:pPr>
        <w:spacing w:after="160" w:line="320"/>
        <w:jc w:val="both"/>
      </w:pPr>
      <w:r>
        <w:rPr>
          <w:rFonts w:ascii="Georgia" w:cs="Georgia" w:eastAsia="Georgia" w:hAnsi="Georgia"/>
          <w:b w:val="false"/>
          <w:bCs w:val="false"/>
          <w:color w:val="111827"/>
          <w:sz w:val="22"/>
          <w:szCs w:val="22"/>
        </w:rPr>
        <w:t xml:space="preserve">Beyond BSSN, the SPBE (Sistem Pemerintahan Berbasis Elektronik) framework — established by Presidential Regulation 95/2018 — sets requirements for electronic government services across Indonesian government agencies. SPBE addresses IT governance, IT service management, digital service architecture, and data governance in terms that align with ISO 20000’s management system approach. IT service providers supplying services to government agencies under SPBE need to demonstrate service management capability that satisfies SPBE’s service delivery and continuity requirements.</w:t>
      </w:r>
    </w:p>
    <w:p>
      <w:pPr>
        <w:spacing w:after="160" w:line="320"/>
        <w:jc w:val="both"/>
      </w:pPr>
      <w:r>
        <w:rPr>
          <w:rFonts w:ascii="Georgia" w:cs="Georgia" w:eastAsia="Georgia" w:hAnsi="Georgia"/>
          <w:b w:val="false"/>
          <w:bCs w:val="false"/>
          <w:color w:val="111827"/>
          <w:sz w:val="22"/>
          <w:szCs w:val="22"/>
        </w:rPr>
        <w:t xml:space="preserve">The PDNS (Pusat Data Nasional) incident of 2024 — a ransomware attack that disrupted government digital services significantly — accelerated the Indonesian government’s scrutiny of IT service providers’ service management and security capability. Post-PDNS, government procurement processes for IT services have become materially more rigorous in evaluating whether suppliers have formal, audited service management systems rather than informal practices. ISO 20000 certification, as an internationally recognized and independently audited standard, is increasingly relevant in this procurement context.</w:t>
      </w:r>
    </w:p>
    <w:p>
      <w:pPr>
        <w:pBdr>
          <w:bottom w:val="single" w:color="2563A8" w:sz="4" w:space="4"/>
        </w:pBdr>
        <w:spacing w:after="160" w:before="400"/>
      </w:pPr>
      <w:r>
        <w:rPr>
          <w:rFonts w:ascii="Arial" w:cs="Arial" w:eastAsia="Arial" w:hAnsi="Arial"/>
          <w:b/>
          <w:bCs/>
          <w:caps w:val="false"/>
          <w:color w:val="1B3A5C"/>
          <w:sz w:val="28"/>
          <w:szCs w:val="28"/>
        </w:rPr>
        <w:t xml:space="preserve">Driver 4: MSP Market Differentiation</w:t>
      </w:r>
    </w:p>
    <w:p>
      <w:pPr>
        <w:spacing w:after="160" w:line="320"/>
        <w:jc w:val="both"/>
      </w:pPr>
      <w:r>
        <w:rPr>
          <w:rFonts w:ascii="Georgia" w:cs="Georgia" w:eastAsia="Georgia" w:hAnsi="Georgia"/>
          <w:b w:val="false"/>
          <w:bCs w:val="false"/>
          <w:color w:val="111827"/>
          <w:sz w:val="22"/>
          <w:szCs w:val="22"/>
        </w:rPr>
        <w:t xml:space="preserve">The Indonesian managed services market is competitive and growing. As enterprise organizations increasingly outsource IT operations, infrastructure management, and application support, the pool of MSPs competing for those contracts has expanded. Buyers — particularly sophisticated enterprise clients — face a challenge: how to assess and compare the service management capability of competing MSPs when all of them produce their own marketing claims about service quality, ITIL alignment, and customer focus.</w:t>
      </w:r>
    </w:p>
    <w:p>
      <w:pPr>
        <w:spacing w:after="160" w:line="320"/>
        <w:jc w:val="both"/>
      </w:pPr>
      <w:r>
        <w:rPr>
          <w:rFonts w:ascii="Georgia" w:cs="Georgia" w:eastAsia="Georgia" w:hAnsi="Georgia"/>
          <w:b w:val="false"/>
          <w:bCs w:val="false"/>
          <w:color w:val="111827"/>
          <w:sz w:val="22"/>
          <w:szCs w:val="22"/>
        </w:rPr>
        <w:t xml:space="preserve">ISO 20000 certification resolves this assessment challenge by providing a standardized, independently verified signal of service management capability. An MSP with ISO 20000 certification has had its SMS audited by an accredited certification body — the auditor has verified that incident management, change management, configuration management, problem management, service level management, and the governance infrastructure around all of these practices genuinely meet the standard’s requirements. A procurement evaluator who understands what ISO 20000 means does not need to conduct a detailed technical assessment of the MSP’s service management processes — the certification has already done that.</w:t>
      </w:r>
    </w:p>
    <w:p>
      <w:pPr>
        <w:spacing w:after="160" w:line="320"/>
        <w:jc w:val="both"/>
      </w:pPr>
      <w:r>
        <w:rPr>
          <w:rFonts w:ascii="Georgia" w:cs="Georgia" w:eastAsia="Georgia" w:hAnsi="Georgia"/>
          <w:b w:val="false"/>
          <w:bCs w:val="false"/>
          <w:color w:val="111827"/>
          <w:sz w:val="22"/>
          <w:szCs w:val="22"/>
        </w:rPr>
        <w:t xml:space="preserve">In enterprise and government tenders where ISO 20000 certification is listed as a preferred or required qualification, uncertified MSPs are simply excluded from consideration regardless of their actual capability. This makes certification a market access question, not merely a quality signal. MSPs that aspire to serve large enterprise or government clients without ISO 20000 certification are self-limiting their addressable market in ways that become progressively more consequential as procurement requirements tighten.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480"/>
        <w:gridCol w:w="3480"/>
      </w:tblGrid>
      <w:tr>
        <w:trPr>
          <w:tblHeader/>
        </w:trPr>
        <w:tc>
          <w:tcPr>
            <w:tcW w:type="dxa" w:w="24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Market Segment</w:t>
            </w:r>
          </w:p>
        </w:tc>
        <w:tc>
          <w:tcPr>
            <w:tcW w:type="dxa" w:w="34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Relevance</w:t>
            </w:r>
          </w:p>
        </w:tc>
        <w:tc>
          <w:tcPr>
            <w:tcW w:type="dxa" w:w="34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Certification Urgency</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Financial sector IT outsourcing</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POJK 11/2022 third-party requirements</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often a client contractual condition</w:t>
            </w:r>
          </w:p>
        </w:tc>
      </w:tr>
      <w:tr>
        <w:tc>
          <w:tcPr>
            <w:tcW w:type="dxa" w:w="24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Government IT services (K/L, BUMN)</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SPBE and post-PDNS scrutiny</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increasingly a tender requirement</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Cloud hosting for financial clients</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OJK cloud due diligence</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 — with ISO 27001, forms required portfolio</w:t>
            </w:r>
          </w:p>
        </w:tc>
      </w:tr>
      <w:tr>
        <w:tc>
          <w:tcPr>
            <w:tcW w:type="dxa" w:w="24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Enterprise IT outsourcing (non-financial)</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 — sophisticated buyers require it</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 — competitive differentiator</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SME IT services</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Low — clients rarely require it</w:t>
            </w:r>
          </w:p>
        </w:tc>
        <w:tc>
          <w:tcPr>
            <w:tcW w:type="dxa" w:w="3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Low — cost may outweigh benefit currently</w:t>
            </w:r>
          </w:p>
        </w:tc>
      </w:tr>
      <w:tr>
        <w:tc>
          <w:tcPr>
            <w:tcW w:type="dxa" w:w="24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Corporate IT departments</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 — internal governance and board requirements</w:t>
            </w:r>
          </w:p>
        </w:tc>
        <w:tc>
          <w:tcPr>
            <w:tcW w:type="dxa" w:w="34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 — depends on board and regulatory appetite</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Driver 5: Enterprise Client IT Service Requirements</w:t>
      </w:r>
    </w:p>
    <w:p>
      <w:pPr>
        <w:spacing w:after="160" w:line="320"/>
        <w:jc w:val="both"/>
      </w:pPr>
      <w:r>
        <w:rPr>
          <w:rFonts w:ascii="Georgia" w:cs="Georgia" w:eastAsia="Georgia" w:hAnsi="Georgia"/>
          <w:b w:val="false"/>
          <w:bCs w:val="false"/>
          <w:color w:val="111827"/>
          <w:sz w:val="22"/>
          <w:szCs w:val="22"/>
        </w:rPr>
        <w:t xml:space="preserve">Beyond regulated sectors, large Indonesian enterprise organizations — particularly those with international parent companies or global supply chain relationships — are imposing IT service management requirements on their technology service providers that effectively require ISO 20000-level SMS capability. Multinational corporations with global IT governance frameworks typically require their Indonesian IT service providers to demonstrate that service management practices meet standards equivalent to those applied to their international suppliers. ISO 20000 certification is the most efficient way to satisfy this requirement because it is internationally recognized and independently audited.</w:t>
      </w:r>
    </w:p>
    <w:p>
      <w:pPr>
        <w:spacing w:after="160" w:line="320"/>
        <w:jc w:val="both"/>
      </w:pPr>
      <w:r>
        <w:rPr>
          <w:rFonts w:ascii="Georgia" w:cs="Georgia" w:eastAsia="Georgia" w:hAnsi="Georgia"/>
          <w:b w:val="false"/>
          <w:bCs w:val="false"/>
          <w:color w:val="111827"/>
          <w:sz w:val="22"/>
          <w:szCs w:val="22"/>
        </w:rPr>
        <w:t xml:space="preserve">Group-level IT governance requirements in Indonesian subsidiaries of multinational corporations are another driver. A subsidiary whose parent company holds ISO 20000 certification at group level may be required to align its local IT service management to the group SMS, effectively making ISO 20000 alignment a governance mandate from the parent. In some cases, group certification programs allow subsidiaries to be included within a group-level SMS — which requires the subsidiary’s service management practices to meet the standard’s requirements.</w:t>
      </w:r>
    </w:p>
    <w:p>
      <w:pPr>
        <w:pBdr>
          <w:bottom w:val="single" w:color="2563A8" w:sz="4" w:space="4"/>
        </w:pBdr>
        <w:spacing w:after="160" w:before="400"/>
      </w:pPr>
      <w:r>
        <w:rPr>
          <w:rFonts w:ascii="Arial" w:cs="Arial" w:eastAsia="Arial" w:hAnsi="Arial"/>
          <w:b/>
          <w:bCs/>
          <w:caps w:val="false"/>
          <w:color w:val="1B3A5C"/>
          <w:sz w:val="28"/>
          <w:szCs w:val="28"/>
        </w:rPr>
        <w:t xml:space="preserve">Driver 6: Internal Operational Maturity and Governance</w:t>
      </w:r>
    </w:p>
    <w:p>
      <w:pPr>
        <w:spacing w:after="160" w:line="320"/>
        <w:jc w:val="both"/>
      </w:pPr>
      <w:r>
        <w:rPr>
          <w:rFonts w:ascii="Georgia" w:cs="Georgia" w:eastAsia="Georgia" w:hAnsi="Georgia"/>
          <w:b w:val="false"/>
          <w:bCs w:val="false"/>
          <w:color w:val="111827"/>
          <w:sz w:val="22"/>
          <w:szCs w:val="22"/>
        </w:rPr>
        <w:t xml:space="preserve">Not all ISO 20000 drivers are external. Some organizations pursue certification primarily because their internal service management operations have grown to the point where informal governance is no longer adequate and a formal management system is needed to maintain service quality, manage complexity, and provide accountability to the board and senior leadership.</w:t>
      </w:r>
    </w:p>
    <w:p>
      <w:pPr>
        <w:spacing w:after="160" w:line="320"/>
        <w:jc w:val="both"/>
      </w:pPr>
      <w:r>
        <w:rPr>
          <w:rFonts w:ascii="Georgia" w:cs="Georgia" w:eastAsia="Georgia" w:hAnsi="Georgia"/>
          <w:b w:val="false"/>
          <w:bCs w:val="false"/>
          <w:color w:val="111827"/>
          <w:sz w:val="22"/>
          <w:szCs w:val="22"/>
        </w:rPr>
        <w:t xml:space="preserve">The operational maturity signals that typically indicate readiness for — and benefit from — ISO 20000 implementation include: service delivery teams managing multiple clients or multiple service lines simultaneously; incident volumes and resolution times that are no longer being tracked consistently; change-related outages that suggest insufficient change control; recurring incidents that point to unresolved problems; customer complaints about service quality that cannot be traced to specific process failures; and board or audit committee questions about IT service governance that cannot be answered with structured evidence.</w:t>
      </w:r>
    </w:p>
    <w:p>
      <w:pPr>
        <w:spacing w:after="160" w:line="320"/>
        <w:jc w:val="both"/>
      </w:pPr>
      <w:r>
        <w:rPr>
          <w:rFonts w:ascii="Georgia" w:cs="Georgia" w:eastAsia="Georgia" w:hAnsi="Georgia"/>
          <w:b w:val="false"/>
          <w:bCs w:val="false"/>
          <w:color w:val="111827"/>
          <w:sz w:val="22"/>
          <w:szCs w:val="22"/>
        </w:rPr>
        <w:t xml:space="preserve">When these signals are present, ISO 20000 implementation creates value independently of the certification outcome. The management system discipline — defined processes, documented information, consistent records, management review, internal audit — provides the organizational infrastructure needed to manage service complexity effectively. For many organizations, the operational improvements achieved through SMS implementation justify the cost and effort of the program regardless of whether external clients or regulators require the certification.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ISO 20000 implementation delivers the most value when the organization treats it as an operational improvement program, not a documentation exercise. Organizations that approach implementation by asking “what will make our services genuinely better” rather than “what documentation do we need to produce” consistently achieve both better certification outcomes and better operational results.</w:t>
            </w:r>
          </w:p>
        </w:tc>
      </w:tr>
    </w:tbl>
    <w:p>
      <w:pPr>
        <w:pBdr>
          <w:bottom w:val="single" w:color="2563A8" w:sz="4" w:space="4"/>
        </w:pBdr>
        <w:spacing w:after="160" w:before="400"/>
      </w:pPr>
      <w:r>
        <w:rPr>
          <w:rFonts w:ascii="Arial" w:cs="Arial" w:eastAsia="Arial" w:hAnsi="Arial"/>
          <w:b/>
          <w:bCs/>
          <w:caps w:val="false"/>
          <w:color w:val="1B3A5C"/>
          <w:sz w:val="28"/>
          <w:szCs w:val="28"/>
        </w:rPr>
        <w:t xml:space="preserve">When to Pursue ISO 20000: A Decision Framework</w:t>
      </w:r>
    </w:p>
    <w:p>
      <w:pPr>
        <w:spacing w:after="160" w:line="320"/>
        <w:jc w:val="both"/>
      </w:pPr>
      <w:r>
        <w:rPr>
          <w:rFonts w:ascii="Georgia" w:cs="Georgia" w:eastAsia="Georgia" w:hAnsi="Georgia"/>
          <w:b w:val="false"/>
          <w:bCs w:val="false"/>
          <w:color w:val="111827"/>
          <w:sz w:val="22"/>
          <w:szCs w:val="22"/>
        </w:rPr>
        <w:t xml:space="preserve">Deciding when to pursue ISO 20000 certification requires assessing three factors: urgency, readiness, and return on investment.</w:t>
      </w:r>
    </w:p>
    <w:p>
      <w:pPr>
        <w:spacing w:after="160" w:line="320"/>
        <w:jc w:val="both"/>
      </w:pPr>
      <w:r>
        <w:rPr>
          <w:rFonts w:ascii="Georgia" w:cs="Georgia" w:eastAsia="Georgia" w:hAnsi="Georgia"/>
          <w:b w:val="false"/>
          <w:bCs w:val="false"/>
          <w:color w:val="111827"/>
          <w:sz w:val="22"/>
          <w:szCs w:val="22"/>
        </w:rPr>
        <w:t xml:space="preserve">Urgency is driven by external timelines. If a major client has set a contractual deadline for ISO 20000 certification, or if a regulatory examination is approaching and SMS maturity will be assessed, urgency is high and implementation must begin immediately. Typical ISO 20000 implementation timelines for organizations starting from moderate ITIL-process maturity run 9 to 15 months. Organizations starting from lower maturity may require 15 to 24 months. Building in buffer time before certification audit is important — internal audits and at least one management review cycle must be completed before Stage 2.</w:t>
      </w:r>
    </w:p>
    <w:p>
      <w:pPr>
        <w:spacing w:after="160" w:line="320"/>
        <w:jc w:val="both"/>
      </w:pPr>
      <w:r>
        <w:rPr>
          <w:rFonts w:ascii="Georgia" w:cs="Georgia" w:eastAsia="Georgia" w:hAnsi="Georgia"/>
          <w:b w:val="false"/>
          <w:bCs w:val="false"/>
          <w:color w:val="111827"/>
          <w:sz w:val="22"/>
          <w:szCs w:val="22"/>
        </w:rPr>
        <w:t xml:space="preserve">Readiness encompasses both organizational conditions and resource availability. Organizations with existing ISO 27001 certification have a significant advantage: the management system infrastructure, document control system, internal audit program, and management review process are already in place and can be extended to cover ISO 20000. Organizations without any existing management system certification face a larger initial investment in governance infrastructure before the service management practices can be built on top of it. Resource readiness means having a committed project sponsor with budget authority, a capable implementation team (typically including an SMS coordinator with service management experience and, ideally, familiarity with management system standards), and executive leadership that understands what is being committed to.</w:t>
      </w:r>
    </w:p>
    <w:p>
      <w:pPr>
        <w:spacing w:after="160" w:line="320"/>
        <w:jc w:val="both"/>
      </w:pPr>
      <w:r>
        <w:rPr>
          <w:rFonts w:ascii="Georgia" w:cs="Georgia" w:eastAsia="Georgia" w:hAnsi="Georgia"/>
          <w:b w:val="false"/>
          <w:bCs w:val="false"/>
          <w:color w:val="111827"/>
          <w:sz w:val="22"/>
          <w:szCs w:val="22"/>
        </w:rPr>
        <w:t xml:space="preserve">Return on investment is calculated against the specific value drivers in the organization’s context. For an MSP that will win materially more contracts with ISO 20000 certification, the return is straightforward to model: estimate the incremental revenue from newly accessible contracts and compare it to implementation and certification cost. For an organization driven primarily by regulatory compliance, the return is risk reduction: the cost of implementation against the regulatory and commercial risk of non-compliance. For an organization driven by operational improvement, the return is efficiency gain: reduced incident volume, faster resolution times, fewer change-related outages.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3280"/>
        <w:gridCol w:w="3280"/>
      </w:tblGrid>
      <w:tr>
        <w:trPr>
          <w:tblHeader/>
        </w:trPr>
        <w:tc>
          <w:tcPr>
            <w:tcW w:type="dxa" w:w="28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Readiness Indicator</w:t>
            </w:r>
          </w:p>
        </w:tc>
        <w:tc>
          <w:tcPr>
            <w:tcW w:type="dxa" w:w="32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Strong Readiness</w:t>
            </w:r>
          </w:p>
        </w:tc>
        <w:tc>
          <w:tcPr>
            <w:tcW w:type="dxa" w:w="32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Development Needed</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Existing management system</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27001 or ISO 22301 certified</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existing management system</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ITIL maturity</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Documented ITIL-aligned processes in operation</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Informal, undocumented operations</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Leadership commitment</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C-suite sponsor, allocated budget</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executive owner identified</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Documented information</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 control system in place</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document management discipline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Internal audit capability</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Internal auditors trained or available</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internal audit function</w:t>
            </w:r>
          </w:p>
        </w:tc>
      </w:tr>
      <w:tr>
        <w:tc>
          <w:tcPr>
            <w:tcW w:type="dxa" w:w="2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performance data</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 tracking and reporting in place</w:t>
            </w:r>
          </w:p>
        </w:tc>
        <w:tc>
          <w:tcPr>
            <w:tcW w:type="dxa" w:w="32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systematic performance measurement</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Indonesian Certification Landscape</w:t>
      </w:r>
    </w:p>
    <w:p>
      <w:pPr>
        <w:spacing w:after="160" w:line="320"/>
        <w:jc w:val="both"/>
      </w:pPr>
      <w:r>
        <w:rPr>
          <w:rFonts w:ascii="Georgia" w:cs="Georgia" w:eastAsia="Georgia" w:hAnsi="Georgia"/>
          <w:b w:val="false"/>
          <w:bCs w:val="false"/>
          <w:color w:val="111827"/>
          <w:sz w:val="22"/>
          <w:szCs w:val="22"/>
        </w:rPr>
        <w:t xml:space="preserve">Organizations pursuing ISO 20000 certification in Indonesia must select an accredited certification body (CB). KAN (Komite Akreditasi Nasional) — the Indonesian national accreditation body — accredits certification bodies to conduct ISO 20000 audits in Indonesia. KAN accreditation ensures that the certification body meets international standards for audit competence and independence, and that certificates issued by KAN-accredited CBs carry international recognition through the IAF (International Accreditation Forum) multilateral recognition arrangement.</w:t>
      </w:r>
    </w:p>
    <w:p>
      <w:pPr>
        <w:spacing w:after="160" w:line="320"/>
        <w:jc w:val="both"/>
      </w:pPr>
      <w:r>
        <w:rPr>
          <w:rFonts w:ascii="Georgia" w:cs="Georgia" w:eastAsia="Georgia" w:hAnsi="Georgia"/>
          <w:b w:val="false"/>
          <w:bCs w:val="false"/>
          <w:color w:val="111827"/>
          <w:sz w:val="22"/>
          <w:szCs w:val="22"/>
        </w:rPr>
        <w:t xml:space="preserve">For organizations with international clients or regulatory recognition requirements, selecting a KAN-accredited CB that also holds accreditation from UKAS (UK), DAkkS (Germany), or another IAF-member accreditation body provides the broadest international credibility for the certificate. Multi-standard certification — combining ISO 20000 with ISO 27001 and/or ISO 22301 from the same CB — offers audit efficiency benefits and is a common choice for Indonesian IT service organizations building comprehensive compliance portfolios. Article 4.2 covers certification body selection in detail.</w:t>
      </w:r>
    </w:p>
    <w:p>
      <w:pPr>
        <w:pBdr>
          <w:bottom w:val="single" w:color="2563A8" w:sz="4" w:space="4"/>
        </w:pBdr>
        <w:spacing w:after="160" w:before="400"/>
      </w:pPr>
      <w:r>
        <w:rPr>
          <w:rFonts w:ascii="Arial" w:cs="Arial" w:eastAsia="Arial" w:hAnsi="Arial"/>
          <w:b/>
          <w:bCs/>
          <w:caps w:val="false"/>
          <w:color w:val="1B3A5C"/>
          <w:sz w:val="28"/>
          <w:szCs w:val="28"/>
        </w:rPr>
        <w:t xml:space="preserve">Building the Business Case: A Practical Template</w:t>
      </w:r>
    </w:p>
    <w:p>
      <w:pPr>
        <w:spacing w:after="160" w:line="320"/>
        <w:jc w:val="both"/>
      </w:pPr>
      <w:r>
        <w:rPr>
          <w:rFonts w:ascii="Georgia" w:cs="Georgia" w:eastAsia="Georgia" w:hAnsi="Georgia"/>
          <w:b w:val="false"/>
          <w:bCs w:val="false"/>
          <w:color w:val="111827"/>
          <w:sz w:val="22"/>
          <w:szCs w:val="22"/>
        </w:rPr>
        <w:t xml:space="preserve">A compelling internal business case for ISO 20000 certification typically addresses five elements. First, the specific regulatory or commercial driver: cite the exact POJK provision, the client contract clause, or the tender requirement that makes certification relevant. Second, the scope of the SMS: which services, which clients, which organizational units will be included in the certification scope. Third, the implementation roadmap and timeline: a realistic 12 to 18 month plan with key milestones, resources required, and external costs (certification body fees, consultant support if required). Fourth, the expected benefits: quantified where possible (incremental revenue, avoided penalties, reduced incident costs) and qualified where not (reputational benefit, client satisfaction improvement). Fifth, the risks of not proceeding: the commercial or regulatory consequence of remaining uncertified given the drivers identified.</w:t>
      </w:r>
    </w:p>
    <w:p>
      <w:pPr>
        <w:spacing w:after="160" w:line="320"/>
        <w:jc w:val="both"/>
      </w:pPr>
      <w:r>
        <w:rPr>
          <w:rFonts w:ascii="Georgia" w:cs="Georgia" w:eastAsia="Georgia" w:hAnsi="Georgia"/>
          <w:b w:val="false"/>
          <w:bCs w:val="false"/>
          <w:color w:val="111827"/>
          <w:sz w:val="22"/>
          <w:szCs w:val="22"/>
        </w:rPr>
        <w:t xml:space="preserve">The business case should be presented to the executive sponsor who will own the SMS — typically the CTO, CIO, or COO, depending on organizational structure — with the expectation that it will be reviewed alongside competing investment priorities. ISO 20000 implementation is not a trivial undertaking: it requires sustained organizational attention for 12 to 18 months, and the management system it creates requires ongoing governance investment in perpetuity. A realistic business case that acknowledges this commitment while quantifying the return is far more likely to secure genuine executive sponsorship than a case that understates the effort involved.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Platform includes an ISO 20000 readiness assessment module that evaluates an organization’s current service management practice against all Clause 8 requirements and its management system governance against Clauses 4–7 and 9–10. The assessment output includes a gap heat map, implementation priority ranking, and estimated effort per gap area — the inputs needed to build a realistic business case and implementation plan. Assessment typically takes two to three working days and is the recommended starting point for any ISO 20000 certification program.</w:t>
            </w:r>
          </w:p>
        </w:tc>
      </w:tr>
    </w:tbl>
    <w:p>
      <w:pPr>
        <w:pBdr>
          <w:bottom w:val="single" w:color="2563A8" w:sz="4" w:space="4"/>
        </w:pBdr>
        <w:spacing w:after="160" w:before="400"/>
      </w:pPr>
      <w:r>
        <w:rPr>
          <w:rFonts w:ascii="Arial" w:cs="Arial" w:eastAsia="Arial" w:hAnsi="Arial"/>
          <w:b/>
          <w:bCs/>
          <w:caps w:val="false"/>
          <w:color w:val="1B3A5C"/>
          <w:sz w:val="28"/>
          <w:szCs w:val="28"/>
        </w:rPr>
        <w:t xml:space="preserve">Summary: Is ISO 20000 Right for Your Organization?</w:t>
      </w:r>
    </w:p>
    <w:p>
      <w:pPr>
        <w:spacing w:after="160" w:line="320"/>
        <w:jc w:val="both"/>
      </w:pPr>
      <w:r>
        <w:rPr>
          <w:rFonts w:ascii="Georgia" w:cs="Georgia" w:eastAsia="Georgia" w:hAnsi="Georgia"/>
          <w:b w:val="false"/>
          <w:bCs w:val="false"/>
          <w:color w:val="111827"/>
          <w:sz w:val="22"/>
          <w:szCs w:val="22"/>
        </w:rPr>
        <w:t xml:space="preserve">ISO 20000 is right for your organization if any of the following apply. You supply IT services to OJK-regulated financial institutions and need to demonstrate third-party IT service management capability. You are a cloud service provider targeting the Indonesian financial sector. You supply IT services to Indonesian government agencies and want to strengthen your SPBE alignment and post-PDNS procurement credibility. You are an MSP competing for enterprise contracts where ISO 20000 is a tender requirement or competitive differentiator. Your parent company’s group IT governance framework requires ISO 20000 alignment. Your internal service management operations have grown to the point where informal governance is producing service quality problems, and your board or leadership team is demanding structured accountability.</w:t>
      </w:r>
    </w:p>
    <w:p>
      <w:pPr>
        <w:spacing w:after="160" w:line="320"/>
        <w:jc w:val="both"/>
      </w:pPr>
      <w:r>
        <w:rPr>
          <w:rFonts w:ascii="Georgia" w:cs="Georgia" w:eastAsia="Georgia" w:hAnsi="Georgia"/>
          <w:b w:val="false"/>
          <w:bCs w:val="false"/>
          <w:color w:val="111827"/>
          <w:sz w:val="22"/>
          <w:szCs w:val="22"/>
        </w:rPr>
        <w:t xml:space="preserve">If none of these apply today, it is worth reviewing the question annually — the Indonesian regulatory environment is moving in a direction that will make formal IT service management assurance progressively more important across a wider range of sectors and procurement contexts. Organizations that build SMS capability proactively will find certification faster and less disruptive than those who wait until a specific external trigger forces a reactive implementation program.</w:t>
      </w:r>
    </w:p>
    <w:p>
      <w:pPr>
        <w:spacing w:after="160" w:line="320"/>
        <w:jc w:val="both"/>
      </w:pPr>
      <w:r>
        <w:rPr>
          <w:rFonts w:ascii="Georgia" w:cs="Georgia" w:eastAsia="Georgia" w:hAnsi="Georgia"/>
          <w:b w:val="false"/>
          <w:bCs w:val="false"/>
          <w:color w:val="111827"/>
          <w:sz w:val="22"/>
          <w:szCs w:val="22"/>
        </w:rPr>
        <w:t xml:space="preserve">Section 2 of this Knowledge Hub begins the clause-by-clause requirements deep dive, starting with Clause 4 and the critical decisions around SMS scope and stakeholder context. Section 3 provides the complete implementation roadmap for organizations ready to begin the journey.</w:t>
      </w:r>
    </w:p>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2026-04-05T08:53:47.428Z</dcterms:created>
  <dcterms:modified xsi:type="dcterms:W3CDTF">2026-04-05T08:53:47.429Z</dcterms:modified>
</cp:coreProperties>
</file>

<file path=docProps/custom.xml><?xml version="1.0" encoding="utf-8"?>
<Properties xmlns="http://schemas.openxmlformats.org/officeDocument/2006/custom-properties" xmlns:vt="http://schemas.openxmlformats.org/officeDocument/2006/docPropsVTypes"/>
</file>